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关于举办第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十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届阅乐读书季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“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学党史 知国史 明校史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 xml:space="preserve"> ”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hint="default" w:ascii="黑体" w:hAnsi="黑体" w:eastAsia="黑体"/>
          <w:b/>
          <w:bCs/>
          <w:sz w:val="28"/>
          <w:szCs w:val="28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主题演讲比赛的通知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各党总支、直属党支部：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为深学笃用习近平新时代中国特色社会主义思想，学习贯彻习近平文化思想，大力培育和践行社会主义核心价值观，深入落实“时代新人铸魂工程”，深化全国文明校园建设，切实推动全民阅读活动，激发学生阅读经典的热情，进一步巩固爱读书、读好书、善读书的浓厚氛围，不断引导全体师生汲取书籍智慧，感悟文字力量，传递阅读之美。根据学校第十届阅乐读书季活动的总体安排，现将“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学党史 知国史 明校史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”主题演讲比赛相关事宜通知如下: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      一、比赛主题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 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   学党史 知国史 明校史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      二、比赛安排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比赛时间：202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日18：30</w:t>
      </w:r>
      <w:bookmarkStart w:id="0" w:name="_GoBack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（暂定）</w:t>
      </w:r>
      <w:bookmarkEnd w:id="0"/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比赛对象：全体在校学生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比赛地点：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学术交流中心多功能厅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      三、具体要求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（一）演讲比赛内容紧扣活动主题，主题鲜明，内容完整，积极健康，富有感染力。参赛选手须穿着正装，使用普通话，脱稿演讲。每位选手的演讲时间限定在4-6分钟，确定参赛的选手不得无故退出比赛。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（二）报送流程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由各二级学院分别举行初赛，初赛后，各二级学院推出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1组选手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参加决赛。各二级学院在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月10日前以学院为单位将决赛人员名单汇总表、报名表、（见附件）电子档打包发送至QQ邮箱：198707796@qq.com，并在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月14日（星期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）中午12:00到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春华园一舍D1114大数据与信息产业学院团总支学生会办公室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抽签决定比赛顺序。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      四、参赛须知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（一）演讲作品必须为作者独立创作；对抄袭他人创意、侵犯他人权益、作品内容不符合大赛相关要求、参赛信息不全的作品，将一律取消参赛资格。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（二）大赛获奖证书、线上展览相关信息将以报名信息为准，如因选手错报个人信息，造成与实际信息不匹配，大赛主办方概不负责。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（三）大赛主办方拥有对参赛作品的收藏、发表、展出、出版、宣传等权利，所有参赛作品概不退换，凡投稿者均视为承认并遵守征稿通知的各项规定。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五、奖项设置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     本次比赛分别设置一等奖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名，二等奖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名，三等奖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附件：1.第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届阅乐读书季“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学党史 知国史 明校史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”主题演讲比赛报名表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2. 第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届阅乐读书季“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学党史 知国史 明校史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”主题演讲比赛报名信息汇总表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3. 第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届阅乐读书季“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学党史 知国史 明校史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”主题演讲比赛评分标准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                                                                             主办：党委宣传网工部 学生处  </w:t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图书馆 团委 工会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档案馆</w:t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                      承办：大数据与信息产业学院</w:t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   202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</w:t>
      </w:r>
    </w:p>
    <w:p>
      <w:pPr>
        <w:pStyle w:val="12"/>
      </w:pP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</w:p>
    <w:p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br w:type="page"/>
      </w:r>
    </w:p>
    <w:p>
      <w:pPr>
        <w:pStyle w:val="2"/>
        <w:jc w:val="both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第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十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届阅乐读书季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“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学党史 知国史 明校史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 xml:space="preserve"> ”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hint="default"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主题演讲比赛报名表</w:t>
      </w:r>
    </w:p>
    <w:tbl>
      <w:tblPr>
        <w:tblStyle w:val="6"/>
        <w:tblW w:w="874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700"/>
        <w:gridCol w:w="1508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Style w:val="17"/>
                <w:rFonts w:eastAsia="方正仿宋_GBK"/>
                <w:lang w:bidi="ar"/>
              </w:rPr>
              <w:t xml:space="preserve">  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Style w:val="17"/>
                <w:rFonts w:eastAsia="方正仿宋_GBK"/>
                <w:lang w:bidi="ar"/>
              </w:rPr>
              <w:t xml:space="preserve">  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学院年级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手</w:t>
            </w:r>
            <w:r>
              <w:rPr>
                <w:rStyle w:val="17"/>
                <w:rFonts w:eastAsia="方正仿宋_GBK"/>
                <w:lang w:bidi="ar"/>
              </w:rPr>
              <w:t xml:space="preserve">  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QQ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是否准备</w:t>
            </w:r>
            <w:r>
              <w:rPr>
                <w:rStyle w:val="17"/>
                <w:rFonts w:eastAsia="方正仿宋_GBK"/>
                <w:lang w:bidi="ar"/>
              </w:rPr>
              <w:t>PPT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演讲主题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个人主要成绩</w:t>
            </w:r>
          </w:p>
        </w:tc>
        <w:tc>
          <w:tcPr>
            <w:tcW w:w="7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个人荣誉、参与组织过何种演讲比赛比赛、取得过何种成果等</w:t>
            </w:r>
          </w:p>
          <w:p>
            <w:pPr>
              <w:pStyle w:val="2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（从</w:t>
            </w:r>
            <w:r>
              <w:rPr>
                <w:rStyle w:val="18"/>
                <w:rFonts w:hint="default"/>
                <w:lang w:bidi="ar"/>
              </w:rPr>
              <w:t>大学阶段开始计算，可另附材料）</w:t>
            </w:r>
          </w:p>
        </w:tc>
      </w:tr>
    </w:tbl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</w:p>
    <w:p>
      <w:pPr>
        <w:pStyle w:val="2"/>
        <w:jc w:val="both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pStyle w:val="2"/>
        <w:jc w:val="both"/>
        <w:rPr>
          <w:rFonts w:ascii="方正小标宋_GBK" w:hAnsi="Times New Roman" w:eastAsia="方正小标宋_GBK"/>
          <w:kern w:val="0"/>
          <w:sz w:val="32"/>
          <w:szCs w:val="32"/>
        </w:rPr>
      </w:pPr>
    </w:p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第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十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届阅乐读书季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“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学党史 知国史 明校史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 xml:space="preserve"> ”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hint="default"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主题演讲比赛报名信息汇总表</w:t>
      </w:r>
    </w:p>
    <w:tbl>
      <w:tblPr>
        <w:tblStyle w:val="7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30"/>
        <w:gridCol w:w="1282"/>
        <w:gridCol w:w="1335"/>
        <w:gridCol w:w="1140"/>
        <w:gridCol w:w="15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学院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电话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QQ号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54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演讲主题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pStyle w:val="2"/>
      </w:pPr>
      <w:r>
        <w:br w:type="page"/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第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十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届阅乐读书季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“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学党史 知国史 明校史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 xml:space="preserve"> ”</w:t>
      </w:r>
    </w:p>
    <w:p>
      <w:pPr>
        <w:pStyle w:val="3"/>
        <w:framePr w:wrap="auto" w:vAnchor="margin" w:hAnchor="text" w:yAlign="inline"/>
        <w:spacing w:line="594" w:lineRule="exact"/>
        <w:jc w:val="center"/>
        <w:rPr>
          <w:rFonts w:hint="default"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主题演讲比赛评分标准</w:t>
      </w:r>
    </w:p>
    <w:tbl>
      <w:tblPr>
        <w:tblStyle w:val="16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38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评分标准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分值（100分）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仪表形象</w:t>
            </w:r>
          </w:p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（要求着装整洁、个人卫生良好、外表大方，着正装）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语言表达</w:t>
            </w:r>
          </w:p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（要求脱稿演讲，普通话标准、口齿伶俐，语言表现力强，语速不能过快且流畅）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时间控制3—5分钟</w:t>
            </w:r>
          </w:p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（时间还剩一分钟及三十秒时计时工作人员将举牌提示，少于3分钟或超过5分钟酌情扣分，超过六分钟强制停止演讲，本项记零分）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内容丰富</w:t>
            </w:r>
          </w:p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（演讲内容紧扣主题，主题鲜明、深刻，内容积极向上、不能有攻击性，语言自然流畅，富有真情实感。）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综合效果</w:t>
            </w:r>
          </w:p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（具有较强的吸引力、感染力和号召力，能较好地与听众感情融合在一起，营造良好的演讲效果）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556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注意：该评分为百分制，评委明确给出每部分评分（评分为整数），由工作人员进行最后加分，去掉最高分与最低分，取平均分为选手比赛的最终成绩。</w:t>
            </w:r>
          </w:p>
        </w:tc>
      </w:tr>
    </w:tbl>
    <w:p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ZTc0MDhkMGU5MDRiYWJiODk0NDAzMjQ1NmQ5OWUifQ=="/>
  </w:docVars>
  <w:rsids>
    <w:rsidRoot w:val="00AC3E88"/>
    <w:rsid w:val="005D67A5"/>
    <w:rsid w:val="007F0EC0"/>
    <w:rsid w:val="009801B2"/>
    <w:rsid w:val="00AC3E88"/>
    <w:rsid w:val="00C01319"/>
    <w:rsid w:val="00F618B8"/>
    <w:rsid w:val="139C4665"/>
    <w:rsid w:val="253305D1"/>
    <w:rsid w:val="294F1443"/>
    <w:rsid w:val="300C0A08"/>
    <w:rsid w:val="3C6B48B0"/>
    <w:rsid w:val="4EA52050"/>
    <w:rsid w:val="51FD2E0A"/>
    <w:rsid w:val="5627460C"/>
    <w:rsid w:val="5AB75F5E"/>
    <w:rsid w:val="5E3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Date"/>
    <w:next w:val="1"/>
    <w:link w:val="10"/>
    <w:autoRedefine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3"/>
    <w:autoRedefine/>
    <w:qFormat/>
    <w:uiPriority w:val="0"/>
    <w:rPr>
      <w:rFonts w:ascii="Arial Unicode MS" w:hAnsi="Arial Unicode MS" w:eastAsia="Arial Unicode MS" w:cs="Arial Unicode MS"/>
      <w:color w:val="000000"/>
      <w:sz w:val="32"/>
      <w:szCs w:val="32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qowt-stl-a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5-gb2312"/>
    <w:basedOn w:val="8"/>
    <w:autoRedefine/>
    <w:qFormat/>
    <w:uiPriority w:val="0"/>
  </w:style>
  <w:style w:type="character" w:customStyle="1" w:styleId="15">
    <w:name w:val="页脚 Char"/>
    <w:basedOn w:val="8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6">
    <w:name w:val="网格型2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1472</Words>
  <Characters>1526</Characters>
  <Lines>15</Lines>
  <Paragraphs>4</Paragraphs>
  <TotalTime>5</TotalTime>
  <ScaleCrop>false</ScaleCrop>
  <LinksUpToDate>false</LinksUpToDate>
  <CharactersWithSpaces>2022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2023-03-23T02:46:00Z</dcterms:created>
  <dc:creator>reechan</dc:creator>
  <cp:lastModifiedBy>Maria</cp:lastModifiedBy>
  <dcterms:modified xsi:type="dcterms:W3CDTF">2024-04-23T06:36:37Z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EF15D07F366F48CA9E49B23069D0A3CD_12</vt:lpwstr>
  </property>
</Properties>
</file>